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886" w:dyaOrig="2145">
          <v:rect xmlns:o="urn:schemas-microsoft-com:office:office" xmlns:v="urn:schemas-microsoft-com:vml" id="rectole0000000000" style="width:94.300000pt;height:107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3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3"/>
          <w:shd w:fill="auto" w:val="clear"/>
        </w:rPr>
        <w:t xml:space="preserve">CITTÀ DI AVIGLIANO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0"/>
          <w:shd w:fill="auto" w:val="clear"/>
        </w:rPr>
        <w:t xml:space="preserve">Provincia di Potenza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  <w:t xml:space="preserve">Settore I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  <w:t xml:space="preserve"> Amministrativo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AVVISO PUBBLICO</w:t>
      </w:r>
    </w:p>
    <w:p>
      <w:pPr>
        <w:suppressAutoHyphens w:val="true"/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EDIZIONE 2021</w:t>
      </w:r>
    </w:p>
    <w:p>
      <w:pPr>
        <w:suppressAutoHyphens w:val="true"/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Determinazione di Settore DSG n. 398/2021</w:t>
      </w:r>
    </w:p>
    <w:p>
      <w:pPr>
        <w:suppressAutoHyphens w:val="true"/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ALLEGATO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“</w:t>
      </w:r>
    </w:p>
    <w:p>
      <w:pPr>
        <w:suppressAutoHyphens w:val="true"/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ISTANZE  AMMESSE</w:t>
      </w:r>
    </w:p>
    <w:p>
      <w:pPr>
        <w:suppressAutoHyphens w:val="true"/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Assegnazione del contributo economico a favore di nuclei familiari in condizioni di disagio economico e sociale causato dall’emergenza connessa alla diffusione di agenti virali trasmissibili (COVID -19)-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Decreto Legge 23 novembre 2020 n.154 -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4819" w:leader="none"/>
          <w:tab w:val="right" w:pos="9638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485"/>
      </w:tblGrid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5029-08/04/2021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5033-08/04/2021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5046-08/04/2021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5048-08/04/2021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5049-08/04/2021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5050-08/04/2021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5051--08/04/2021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5056-08/04/2021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5057-08/04/2021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5077-08/04/2021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5078-08/04/2021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5079-08/04/2021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5081-08/04/2021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5095-08/04/2021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5096-08/04/2021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5101-09/04/2021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5108-09/04/2021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5119-09/04/2021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5122-09/04/2021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5123-09/04/2021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5128-09/04/2021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5133-09/04/2021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5148-09/04/2021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5149-09/04/2021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5152-09/04/2021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5184-12/04/2021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5185-12/04/2021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5204-12/04/2021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5205-12/04/2021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5212- 12/04/2021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5213- 12/04/2021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5214- 12/04/2021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5219- 12/04/2021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5220- 12/04/2021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5221- 12/04/2021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5223- 12/04/2021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5226- 12/04/2021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5227- 12/04/2021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5228- 12/04/2021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5229- 12/04/2021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5230- 12/04/2021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5231-12/04/2021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5232-12/04/2021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5233-12/04/2021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5237-12/04/2021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5242-12/04/2021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5243-12/04/2021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5254-12/04/2021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5255-12/04/2021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5256-12/04/2021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5257-12/04/2021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5258-12/04/2021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5303-13/04/2021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5320-13/04/2021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5332-13/04/2021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5333-13/04/2021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5334-13/04/2021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5336-13/04/2021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5337-13/04/2021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5338-13/04/2021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5370-13/04/2021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5371-13/04/2021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5388-14/04/2021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5389-14/04/2021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5393-14/04/2021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5398-14/04/2021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5414-14/04/2021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5451-14/04/2021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5470-15/04/2021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5472-15/04/2021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5484-15/04/2021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5511-15/04/2021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5513-15/04/2021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5514-15/04/2021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5523-15/04/2021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5532-15/04/2021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5533-15/04/2021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5541-16/04/2021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5548-16/04/2021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5560-16/04/2021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5566-16/04/2021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5603-19/04/2021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5616-19/04/2021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5644-19/04/2021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5649-19/04/2021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5664-19/04/2021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5736-20/04/2021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5744-20/04/2021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5765-20/04/2021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5766-20/04/2021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5767-20/04/2021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5773-20/04/2021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5813-20/04/2021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5818-20/0420/21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5851-21/04/2021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5853-21/04/2021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5855-21/04/2021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5856-21/04/2021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5858-21/04/2021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5859-21/04/2021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5861-21/04/2021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5862-21/04/2021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5936-22/04/2021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5952-22/04/2021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5977-22/04/2021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5979-22/04/2021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6030-22/04/2021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6035-22/04/2021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6060-23/04/2021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6061-23/04/2021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6102-23/04/2021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6116-24/04/2021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6165-26/04/2021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6201-27/04/2021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6202-27/04/2021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6203-27/04/2021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6204-27/04/2021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6205-27/04/2021</w:t>
            </w:r>
          </w:p>
        </w:tc>
      </w:tr>
      <w:tr>
        <w:trPr>
          <w:trHeight w:val="300" w:hRule="auto"/>
          <w:jc w:val="left"/>
        </w:trPr>
        <w:tc>
          <w:tcPr>
            <w:tcW w:w="44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6287-28/04/2021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Il Responsabile del Procedimento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dott. Antonella Pace                                                                                                      Il Responsabile di Settore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dott.ssa Pina Iannielli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